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"/>
        <w:gridCol w:w="9567"/>
        <w:gridCol w:w="64"/>
      </w:tblGrid>
      <w:tr w:rsidR="002163D0" w:rsidRPr="002163D0" w:rsidTr="0017774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63D0" w:rsidRPr="002163D0" w:rsidRDefault="002163D0" w:rsidP="0017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2163D0" w:rsidRPr="002163D0" w:rsidRDefault="002163D0" w:rsidP="001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FF46025" wp14:editId="7D1939E3">
                  <wp:extent cx="5000625" cy="523875"/>
                  <wp:effectExtent l="0" t="0" r="9525" b="9525"/>
                  <wp:docPr id="9" name="Immagine 9" descr="Loghi unit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hi unit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6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163D0" w:rsidRPr="002163D0" w:rsidRDefault="002163D0" w:rsidP="0017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163D0" w:rsidRPr="002163D0" w:rsidRDefault="002163D0" w:rsidP="002163D0">
      <w:pPr>
        <w:pStyle w:val="Titolo1"/>
        <w:rPr>
          <w:color w:val="FF0000"/>
        </w:rPr>
      </w:pPr>
      <w:r w:rsidRPr="002163D0">
        <w:rPr>
          <w:color w:val="FF0000"/>
        </w:rPr>
        <w:t>Stato</w:t>
      </w:r>
      <w:r>
        <w:rPr>
          <w:color w:val="FF0000"/>
        </w:rPr>
        <w:t xml:space="preserve"> </w:t>
      </w:r>
      <w:r w:rsidRPr="002163D0">
        <w:rPr>
          <w:color w:val="FF0000"/>
        </w:rPr>
        <w:t>di</w:t>
      </w:r>
      <w:r>
        <w:rPr>
          <w:color w:val="FF0000"/>
        </w:rPr>
        <w:t xml:space="preserve"> </w:t>
      </w:r>
      <w:r w:rsidRPr="002163D0">
        <w:rPr>
          <w:color w:val="FF0000"/>
        </w:rPr>
        <w:t>agitazione</w:t>
      </w:r>
      <w:r>
        <w:rPr>
          <w:color w:val="FF0000"/>
        </w:rPr>
        <w:t xml:space="preserve"> </w:t>
      </w:r>
      <w:r w:rsidRPr="002163D0">
        <w:rPr>
          <w:color w:val="FF0000"/>
        </w:rPr>
        <w:t>dei</w:t>
      </w:r>
      <w:r>
        <w:rPr>
          <w:color w:val="FF0000"/>
        </w:rPr>
        <w:t xml:space="preserve"> </w:t>
      </w:r>
      <w:r w:rsidRPr="002163D0">
        <w:rPr>
          <w:color w:val="FF0000"/>
        </w:rPr>
        <w:t>Dirigenti</w:t>
      </w:r>
      <w:r>
        <w:rPr>
          <w:color w:val="FF0000"/>
        </w:rPr>
        <w:t xml:space="preserve"> </w:t>
      </w:r>
      <w:r w:rsidRPr="002163D0">
        <w:rPr>
          <w:color w:val="FF0000"/>
        </w:rPr>
        <w:t>scolastici:</w:t>
      </w:r>
      <w:r>
        <w:rPr>
          <w:color w:val="FF0000"/>
        </w:rPr>
        <w:t xml:space="preserve"> </w:t>
      </w:r>
      <w:r w:rsidRPr="002163D0">
        <w:rPr>
          <w:color w:val="FF0000"/>
        </w:rPr>
        <w:t>richiesta</w:t>
      </w:r>
      <w:r>
        <w:rPr>
          <w:color w:val="FF0000"/>
        </w:rPr>
        <w:t xml:space="preserve"> </w:t>
      </w:r>
      <w:r w:rsidRPr="002163D0">
        <w:rPr>
          <w:color w:val="FF0000"/>
        </w:rPr>
        <w:t>la</w:t>
      </w:r>
      <w:r>
        <w:rPr>
          <w:color w:val="FF0000"/>
        </w:rPr>
        <w:t xml:space="preserve"> </w:t>
      </w:r>
      <w:r w:rsidRPr="002163D0">
        <w:rPr>
          <w:color w:val="FF0000"/>
        </w:rPr>
        <w:t>procedura</w:t>
      </w:r>
      <w:r>
        <w:rPr>
          <w:color w:val="FF0000"/>
        </w:rPr>
        <w:t xml:space="preserve"> </w:t>
      </w:r>
      <w:r w:rsidRPr="002163D0">
        <w:rPr>
          <w:color w:val="FF0000"/>
        </w:rPr>
        <w:t>conciliativa</w:t>
      </w:r>
    </w:p>
    <w:p w:rsidR="002163D0" w:rsidRDefault="002163D0" w:rsidP="00177746">
      <w:pPr>
        <w:pStyle w:val="Titolo4"/>
        <w:spacing w:before="0" w:beforeAutospacing="0" w:after="0" w:afterAutospacing="0" w:line="240" w:lineRule="atLeast"/>
      </w:pPr>
      <w:r>
        <w:t>Il 9 marzo presidio di protesta davanti al MIUR.</w:t>
      </w:r>
    </w:p>
    <w:p w:rsidR="002163D0" w:rsidRDefault="002163D0" w:rsidP="00177746">
      <w:pPr>
        <w:spacing w:after="0" w:line="240" w:lineRule="atLeast"/>
      </w:pPr>
      <w:r>
        <w:rPr>
          <w:rStyle w:val="artautore"/>
          <w:b/>
          <w:bCs/>
        </w:rPr>
        <w:t>02/03/2016</w:t>
      </w:r>
    </w:p>
    <w:p w:rsidR="002163D0" w:rsidRDefault="002163D0" w:rsidP="00177746">
      <w:pPr>
        <w:pStyle w:val="Titolo5"/>
        <w:spacing w:before="0" w:line="240" w:lineRule="atLeast"/>
      </w:pPr>
      <w:r>
        <w:t>Contenuti Correlati</w:t>
      </w:r>
    </w:p>
    <w:p w:rsidR="002163D0" w:rsidRDefault="008460F3" w:rsidP="002163D0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7" w:history="1">
        <w:r w:rsidR="002163D0">
          <w:rPr>
            <w:rStyle w:val="Collegamentoipertestuale"/>
          </w:rPr>
          <w:t>Incontro al MIUR sulla retribuzione dei dirigenti scolastici: il MEF insiste sui tagli</w:t>
        </w:r>
      </w:hyperlink>
    </w:p>
    <w:p w:rsidR="002163D0" w:rsidRDefault="008460F3" w:rsidP="002163D0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8" w:history="1">
        <w:r w:rsidR="002163D0">
          <w:rPr>
            <w:rStyle w:val="Collegamentoipertestuale"/>
          </w:rPr>
          <w:t>Dirigenti scolastici: proclamata la mobilitazione della categoria</w:t>
        </w:r>
      </w:hyperlink>
    </w:p>
    <w:p w:rsidR="002163D0" w:rsidRDefault="002163D0" w:rsidP="002163D0">
      <w:pPr>
        <w:pStyle w:val="NormaleWeb"/>
      </w:pPr>
      <w:r>
        <w:t xml:space="preserve">Il 16 febbraio 2016 </w:t>
      </w:r>
      <w:r>
        <w:rPr>
          <w:rStyle w:val="Enfasigrassetto"/>
        </w:rPr>
        <w:t>FLC CGIL, CISL Scuola, UIL Scuola e SNALS CONFSAL</w:t>
      </w:r>
      <w:r>
        <w:t xml:space="preserve"> hanno proclamato lo </w:t>
      </w:r>
      <w:r>
        <w:rPr>
          <w:rStyle w:val="Enfasigrassetto"/>
        </w:rPr>
        <w:t xml:space="preserve">stato di agitazione della categoria </w:t>
      </w:r>
      <w:r>
        <w:t xml:space="preserve">per il taglio dei fondi contrattuali e della retribuzione dei dirigenti scolastici e hanno richiesto un </w:t>
      </w:r>
      <w:r>
        <w:rPr>
          <w:rStyle w:val="Enfasigrassetto"/>
        </w:rPr>
        <w:t xml:space="preserve">incontro urgente </w:t>
      </w:r>
      <w:r>
        <w:t>al MIUR.</w:t>
      </w:r>
    </w:p>
    <w:p w:rsidR="002163D0" w:rsidRDefault="002163D0" w:rsidP="002163D0">
      <w:pPr>
        <w:pStyle w:val="NormaleWeb"/>
      </w:pPr>
      <w:r>
        <w:t xml:space="preserve">In assenza di risposte </w:t>
      </w:r>
      <w:r>
        <w:rPr>
          <w:rStyle w:val="Enfasigrassetto"/>
        </w:rPr>
        <w:t>FLC CGIL, CISL Scuola, UIL Scuola e SNALS CONFSAL</w:t>
      </w:r>
      <w:r>
        <w:t xml:space="preserve">, hanno avviato la </w:t>
      </w:r>
      <w:hyperlink r:id="rId9" w:anchor="conciliazione" w:history="1">
        <w:r>
          <w:rPr>
            <w:rStyle w:val="Collegamentoipertestuale"/>
            <w:b/>
            <w:bCs/>
          </w:rPr>
          <w:t>procedura di conciliazione</w:t>
        </w:r>
      </w:hyperlink>
      <w:r>
        <w:rPr>
          <w:rStyle w:val="Enfasigrassetto"/>
        </w:rPr>
        <w:t>.</w:t>
      </w:r>
    </w:p>
    <w:p w:rsidR="002163D0" w:rsidRDefault="002163D0" w:rsidP="002163D0">
      <w:pPr>
        <w:pStyle w:val="NormaleWeb"/>
      </w:pPr>
      <w:r>
        <w:t>I diritti dei dirigenti scolastici debbono essere rispettati:</w:t>
      </w:r>
    </w:p>
    <w:p w:rsidR="002163D0" w:rsidRDefault="002163D0" w:rsidP="002163D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debbono ricevere la retribuzione da dirigente e non da docente i neo assunti nell’a.s.2015/16;</w:t>
      </w:r>
    </w:p>
    <w:p w:rsidR="002163D0" w:rsidRDefault="002163D0" w:rsidP="002163D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debbono essere integralmente pagate le retribuzioni di posizione ai dirigenti assunti negli ultimi quattro anni;</w:t>
      </w:r>
    </w:p>
    <w:p w:rsidR="002163D0" w:rsidRDefault="002163D0" w:rsidP="002163D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debbono essere pagate le retribuzioni di risultato di tutti i dirigenti degli ultimi tre anni;</w:t>
      </w:r>
    </w:p>
    <w:p w:rsidR="002163D0" w:rsidRDefault="002163D0" w:rsidP="002163D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debbono essere pagate le migliaia di reggenze effettuate dai dirigenti negli anni passati;</w:t>
      </w:r>
    </w:p>
    <w:p w:rsidR="002163D0" w:rsidRDefault="002163D0" w:rsidP="002163D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si devono adeguare le retribuzioni ai dirigenti che hanno cambiato la fascia di complessità della scuola di servizio.</w:t>
      </w:r>
    </w:p>
    <w:p w:rsidR="002163D0" w:rsidRDefault="002163D0" w:rsidP="002163D0">
      <w:pPr>
        <w:pStyle w:val="NormaleWeb"/>
      </w:pPr>
      <w:r>
        <w:t>Vanno respinte le ingerenze del MEF sui contratti regionali 2011/12, 2012/13, 2013/14 e 2014/15 e la pretesa di decurtare il FUN 2015/16.</w:t>
      </w:r>
    </w:p>
    <w:p w:rsidR="002163D0" w:rsidRDefault="002163D0" w:rsidP="002163D0">
      <w:pPr>
        <w:pStyle w:val="NormaleWeb"/>
      </w:pPr>
      <w:r>
        <w:t>Deve essere ripristinato il diritto alla contrattazione e aperto un tavolo di confronto sulla valutazione dei dirigenti scolastici e sul suo rapporto con la retribuzione di risultato. Deve essere bandito al più presto il concorso per dirigenti scolastici.</w:t>
      </w:r>
    </w:p>
    <w:p w:rsidR="00177746" w:rsidRDefault="002163D0" w:rsidP="00177746">
      <w:pPr>
        <w:pStyle w:val="NormaleWeb"/>
        <w:spacing w:before="0" w:beforeAutospacing="0" w:after="0" w:afterAutospacing="0"/>
      </w:pPr>
      <w:r>
        <w:rPr>
          <w:rStyle w:val="Enfasigrassetto"/>
        </w:rPr>
        <w:t>Davanti al MIUR il giorno 9 marzo 2016, dalle ore 11.00, si terrà un presidio dei dirigenti scolastici.</w:t>
      </w:r>
      <w:r>
        <w:br/>
      </w:r>
    </w:p>
    <w:p w:rsidR="00177746" w:rsidRPr="00177746" w:rsidRDefault="00177746" w:rsidP="00177746">
      <w:pPr>
        <w:pStyle w:val="NormaleWeb"/>
        <w:spacing w:before="0" w:beforeAutospacing="0" w:after="0" w:afterAutospacing="0"/>
      </w:pPr>
      <w:r w:rsidRPr="00177746">
        <w:t xml:space="preserve">La </w:t>
      </w:r>
      <w:r>
        <w:t>OO.SS. di Benevento</w:t>
      </w:r>
      <w:r w:rsidRPr="00177746">
        <w:t xml:space="preserve"> sar</w:t>
      </w:r>
      <w:r>
        <w:t>anno</w:t>
      </w:r>
      <w:r w:rsidRPr="00177746">
        <w:t xml:space="preserve"> present</w:t>
      </w:r>
      <w:r>
        <w:t>i</w:t>
      </w:r>
      <w:r w:rsidRPr="00177746">
        <w:t xml:space="preserve"> al </w:t>
      </w:r>
      <w:proofErr w:type="spellStart"/>
      <w:r w:rsidRPr="00177746">
        <w:t>sit</w:t>
      </w:r>
      <w:proofErr w:type="spellEnd"/>
      <w:r w:rsidRPr="00177746">
        <w:t xml:space="preserve"> in del 9 marzo con una folta delegazione di dirigenti scolastici. Sarà importante essere numerosi per far sentire forte la protesta e rendere imperative le rivendicazioni. Gli interessati potranno contattare</w:t>
      </w:r>
      <w:r>
        <w:t xml:space="preserve"> i rispettivi Segretari provinciali per le prenotazioni da effettuarsi </w:t>
      </w:r>
      <w:r w:rsidRPr="00177746">
        <w:t xml:space="preserve">entro il giorno </w:t>
      </w:r>
      <w:r>
        <w:t>7</w:t>
      </w:r>
      <w:r w:rsidRPr="00177746">
        <w:t xml:space="preserve"> </w:t>
      </w:r>
      <w:r>
        <w:t>marzo</w:t>
      </w:r>
      <w:r w:rsidRPr="00177746">
        <w:t xml:space="preserve"> </w:t>
      </w:r>
      <w:proofErr w:type="spellStart"/>
      <w:r w:rsidRPr="00177746">
        <w:t>p.v</w:t>
      </w:r>
      <w:proofErr w:type="spellEnd"/>
      <w:r w:rsidR="00172A26">
        <w:t xml:space="preserve"> (partenza </w:t>
      </w:r>
      <w:r w:rsidR="00172A26" w:rsidRPr="008460F3">
        <w:t xml:space="preserve">ore 6.30 da  </w:t>
      </w:r>
      <w:r w:rsidR="00A560CE" w:rsidRPr="008460F3">
        <w:t>piazza Risorgimento</w:t>
      </w:r>
      <w:r w:rsidR="008460F3">
        <w:t>.</w:t>
      </w:r>
      <w:bookmarkStart w:id="0" w:name="_GoBack"/>
      <w:bookmarkEnd w:id="0"/>
    </w:p>
    <w:p w:rsidR="00177746" w:rsidRPr="00B9510C" w:rsidRDefault="00177746" w:rsidP="00177746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2461"/>
        <w:gridCol w:w="2462"/>
        <w:gridCol w:w="2465"/>
      </w:tblGrid>
      <w:tr w:rsidR="00177746" w:rsidTr="00177746">
        <w:trPr>
          <w:jc w:val="center"/>
        </w:trPr>
        <w:tc>
          <w:tcPr>
            <w:tcW w:w="2466" w:type="dxa"/>
          </w:tcPr>
          <w:p w:rsidR="00177746" w:rsidRDefault="00177746" w:rsidP="0017774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3C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FLC</w:t>
            </w:r>
            <w:r w:rsidRPr="00B43C91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B43C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CGIL</w:t>
            </w:r>
          </w:p>
        </w:tc>
        <w:tc>
          <w:tcPr>
            <w:tcW w:w="2461" w:type="dxa"/>
          </w:tcPr>
          <w:p w:rsidR="00177746" w:rsidRDefault="00177746" w:rsidP="0017774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3C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CISL</w:t>
            </w:r>
            <w:r w:rsidRPr="00B43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3C91">
              <w:rPr>
                <w:rFonts w:ascii="Times New Roman" w:hAnsi="Times New Roman" w:cs="Times New Roman"/>
                <w:b/>
                <w:sz w:val="24"/>
                <w:szCs w:val="24"/>
              </w:rPr>
              <w:t>Scuola</w:t>
            </w:r>
            <w:proofErr w:type="spellEnd"/>
          </w:p>
        </w:tc>
        <w:tc>
          <w:tcPr>
            <w:tcW w:w="2462" w:type="dxa"/>
          </w:tcPr>
          <w:p w:rsidR="00177746" w:rsidRDefault="00177746" w:rsidP="0017774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3C91">
              <w:rPr>
                <w:rFonts w:ascii="Times New Roman" w:hAnsi="Times New Roman" w:cs="Times New Roman"/>
                <w:b/>
                <w:sz w:val="24"/>
                <w:szCs w:val="24"/>
              </w:rPr>
              <w:t>UIL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Scuola</w:t>
            </w:r>
            <w:proofErr w:type="spellEnd"/>
          </w:p>
        </w:tc>
        <w:tc>
          <w:tcPr>
            <w:tcW w:w="2465" w:type="dxa"/>
          </w:tcPr>
          <w:p w:rsidR="00177746" w:rsidRDefault="00177746" w:rsidP="0017774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3C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SNALS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CONFSAL</w:t>
            </w:r>
          </w:p>
        </w:tc>
      </w:tr>
      <w:tr w:rsidR="00177746" w:rsidTr="00177746">
        <w:trPr>
          <w:jc w:val="center"/>
        </w:trPr>
        <w:tc>
          <w:tcPr>
            <w:tcW w:w="2466" w:type="dxa"/>
          </w:tcPr>
          <w:p w:rsidR="00177746" w:rsidRDefault="00177746" w:rsidP="0017774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3C91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B43C91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B43C9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43C91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43C91">
              <w:rPr>
                <w:rFonts w:ascii="Times New Roman" w:hAnsi="Times New Roman" w:cs="Times New Roman"/>
                <w:i/>
                <w:sz w:val="24"/>
                <w:szCs w:val="24"/>
              </w:rPr>
              <w:t>Delli</w:t>
            </w:r>
            <w:proofErr w:type="spellEnd"/>
            <w:r w:rsidRPr="00B43C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43C91">
              <w:rPr>
                <w:rFonts w:ascii="Times New Roman" w:hAnsi="Times New Roman" w:cs="Times New Roman"/>
                <w:i/>
                <w:sz w:val="24"/>
                <w:szCs w:val="24"/>
              </w:rPr>
              <w:t>Veneri</w:t>
            </w:r>
            <w:proofErr w:type="spellEnd"/>
          </w:p>
        </w:tc>
        <w:tc>
          <w:tcPr>
            <w:tcW w:w="2461" w:type="dxa"/>
          </w:tcPr>
          <w:p w:rsidR="00177746" w:rsidRDefault="00177746" w:rsidP="0017774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3C91">
              <w:rPr>
                <w:rFonts w:ascii="Times New Roman" w:hAnsi="Times New Roman" w:cs="Times New Roman"/>
                <w:i/>
                <w:sz w:val="24"/>
                <w:szCs w:val="24"/>
              </w:rPr>
              <w:t>E.</w:t>
            </w:r>
            <w:r w:rsidRPr="00B43C91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B43C91">
              <w:rPr>
                <w:rFonts w:ascii="Times New Roman" w:hAnsi="Times New Roman" w:cs="Times New Roman"/>
                <w:i/>
                <w:sz w:val="24"/>
                <w:szCs w:val="24"/>
              </w:rPr>
              <w:t>Del</w:t>
            </w:r>
            <w:r w:rsidRPr="00B43C91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43C91">
              <w:rPr>
                <w:rFonts w:ascii="Times New Roman" w:hAnsi="Times New Roman" w:cs="Times New Roman"/>
                <w:i/>
                <w:sz w:val="24"/>
                <w:szCs w:val="24"/>
              </w:rPr>
              <w:t>Ninno</w:t>
            </w:r>
            <w:proofErr w:type="spellEnd"/>
          </w:p>
        </w:tc>
        <w:tc>
          <w:tcPr>
            <w:tcW w:w="2462" w:type="dxa"/>
          </w:tcPr>
          <w:p w:rsidR="00177746" w:rsidRDefault="00177746" w:rsidP="0017774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3C91">
              <w:rPr>
                <w:rFonts w:ascii="Times New Roman" w:hAnsi="Times New Roman" w:cs="Times New Roman"/>
                <w:i/>
                <w:sz w:val="24"/>
                <w:szCs w:val="24"/>
              </w:rPr>
              <w:t>A.</w:t>
            </w:r>
            <w:r w:rsidRPr="00B43C91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B43C91">
              <w:rPr>
                <w:rFonts w:ascii="Times New Roman" w:hAnsi="Times New Roman" w:cs="Times New Roman"/>
                <w:i/>
                <w:sz w:val="24"/>
                <w:szCs w:val="24"/>
              </w:rPr>
              <w:t>De</w:t>
            </w:r>
            <w:r w:rsidRPr="00B43C91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43C9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Nigris</w:t>
            </w:r>
            <w:proofErr w:type="spellEnd"/>
          </w:p>
        </w:tc>
        <w:tc>
          <w:tcPr>
            <w:tcW w:w="2465" w:type="dxa"/>
          </w:tcPr>
          <w:p w:rsidR="00177746" w:rsidRDefault="00177746" w:rsidP="0017774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3C91">
              <w:rPr>
                <w:rFonts w:ascii="Times New Roman" w:hAnsi="Times New Roman" w:cs="Times New Roman"/>
                <w:i/>
                <w:sz w:val="24"/>
                <w:szCs w:val="24"/>
              </w:rPr>
              <w:t>I.</w:t>
            </w:r>
            <w:r w:rsidRPr="00B43C9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B43C9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Rosa</w:t>
            </w:r>
          </w:p>
        </w:tc>
      </w:tr>
      <w:tr w:rsidR="00177746" w:rsidTr="00177746">
        <w:trPr>
          <w:jc w:val="center"/>
        </w:trPr>
        <w:tc>
          <w:tcPr>
            <w:tcW w:w="2466" w:type="dxa"/>
          </w:tcPr>
          <w:p w:rsidR="00177746" w:rsidRPr="00B43C91" w:rsidRDefault="00177746" w:rsidP="001777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3382020632</w:t>
            </w:r>
          </w:p>
        </w:tc>
        <w:tc>
          <w:tcPr>
            <w:tcW w:w="2461" w:type="dxa"/>
          </w:tcPr>
          <w:p w:rsidR="00177746" w:rsidRPr="00B43C91" w:rsidRDefault="00177746" w:rsidP="001777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3392709164</w:t>
            </w:r>
          </w:p>
        </w:tc>
        <w:tc>
          <w:tcPr>
            <w:tcW w:w="2462" w:type="dxa"/>
          </w:tcPr>
          <w:p w:rsidR="00177746" w:rsidRPr="00B43C91" w:rsidRDefault="00177746" w:rsidP="001777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34780699552</w:t>
            </w:r>
          </w:p>
        </w:tc>
        <w:tc>
          <w:tcPr>
            <w:tcW w:w="2465" w:type="dxa"/>
          </w:tcPr>
          <w:p w:rsidR="00177746" w:rsidRPr="00B43C91" w:rsidRDefault="00177746" w:rsidP="001777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3894926900</w:t>
            </w:r>
          </w:p>
        </w:tc>
      </w:tr>
    </w:tbl>
    <w:p w:rsidR="00177746" w:rsidRDefault="00177746" w:rsidP="0017774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63D0" w:rsidRDefault="002163D0" w:rsidP="002163D0">
      <w:pPr>
        <w:pStyle w:val="NormaleWeb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68"/>
        <w:gridCol w:w="2463"/>
        <w:gridCol w:w="2462"/>
        <w:gridCol w:w="2461"/>
      </w:tblGrid>
      <w:tr w:rsidR="009842FE" w:rsidTr="0087761E">
        <w:trPr>
          <w:jc w:val="center"/>
        </w:trPr>
        <w:tc>
          <w:tcPr>
            <w:tcW w:w="2472" w:type="dxa"/>
          </w:tcPr>
          <w:p w:rsidR="009842FE" w:rsidRPr="00B43C91" w:rsidRDefault="009842FE" w:rsidP="00877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conciliazione"/>
            <w:bookmarkEnd w:id="1"/>
            <w:r w:rsidRPr="00B43C91">
              <w:rPr>
                <w:rFonts w:ascii="Times New Roman"/>
                <w:noProof/>
                <w:position w:val="2"/>
                <w:sz w:val="24"/>
                <w:szCs w:val="24"/>
                <w:lang w:eastAsia="it-IT"/>
              </w:rPr>
              <w:lastRenderedPageBreak/>
              <w:drawing>
                <wp:inline distT="0" distB="0" distL="0" distR="0" wp14:anchorId="0E198BAD" wp14:editId="05102792">
                  <wp:extent cx="1290114" cy="51949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114" cy="519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2" w:type="dxa"/>
          </w:tcPr>
          <w:p w:rsidR="009842FE" w:rsidRDefault="009842FE" w:rsidP="008776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57CAC219" wp14:editId="1885282A">
                  <wp:extent cx="1098298" cy="548354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298" cy="548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3" w:type="dxa"/>
          </w:tcPr>
          <w:p w:rsidR="009842FE" w:rsidRDefault="009842FE" w:rsidP="008776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noProof/>
                <w:position w:val="9"/>
                <w:sz w:val="20"/>
                <w:lang w:eastAsia="it-IT"/>
              </w:rPr>
              <w:drawing>
                <wp:inline distT="0" distB="0" distL="0" distR="0" wp14:anchorId="4762A4C8" wp14:editId="2E58581C">
                  <wp:extent cx="1024780" cy="437197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780" cy="43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3" w:type="dxa"/>
          </w:tcPr>
          <w:p w:rsidR="009842FE" w:rsidRDefault="009842FE" w:rsidP="008776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0E3900A4" wp14:editId="3BDA5E95">
                  <wp:extent cx="976121" cy="548354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121" cy="548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63D0" w:rsidRDefault="002163D0" w:rsidP="002163D0">
      <w:pPr>
        <w:pStyle w:val="NormaleWeb"/>
        <w:jc w:val="right"/>
      </w:pPr>
      <w:proofErr w:type="spellStart"/>
      <w:r>
        <w:t>Prot</w:t>
      </w:r>
      <w:proofErr w:type="spellEnd"/>
      <w:r>
        <w:t>. n. 130</w:t>
      </w:r>
      <w:r>
        <w:br/>
        <w:t>Roma, 2 marzo 2016</w:t>
      </w:r>
    </w:p>
    <w:p w:rsidR="002163D0" w:rsidRDefault="002163D0" w:rsidP="002163D0">
      <w:pPr>
        <w:pStyle w:val="NormaleWeb"/>
        <w:jc w:val="right"/>
      </w:pPr>
      <w:r>
        <w:t>Al Capo di Gabinetto del  Ministro dell’Istruzione, Università e Ricerca</w:t>
      </w:r>
      <w:r>
        <w:br/>
        <w:t>Ufficio Relazioni Sindacali</w:t>
      </w:r>
    </w:p>
    <w:p w:rsidR="002163D0" w:rsidRDefault="002163D0" w:rsidP="002163D0">
      <w:pPr>
        <w:pStyle w:val="NormaleWeb"/>
        <w:ind w:left="4956"/>
        <w:jc w:val="right"/>
      </w:pPr>
      <w:r>
        <w:t>Al Capo di Gabinetto del Dipartimento della Funzione Pubblica</w:t>
      </w:r>
      <w:r>
        <w:br/>
        <w:t>Presidenza del Consiglio dei Ministri</w:t>
      </w:r>
      <w:r>
        <w:br/>
        <w:t>Ufficio Relazioni Sindacali</w:t>
      </w:r>
    </w:p>
    <w:p w:rsidR="002163D0" w:rsidRDefault="002163D0" w:rsidP="002163D0">
      <w:pPr>
        <w:pStyle w:val="NormaleWeb"/>
      </w:pPr>
      <w:r>
        <w:rPr>
          <w:rStyle w:val="Enfasigrassetto"/>
        </w:rPr>
        <w:t>Oggetto</w:t>
      </w:r>
      <w:r>
        <w:t>: richiesta di esperimento della procedura di conciliazione a seguito dell’avvenuta proclamazione dello stato di agitazione dei Dirigenti Scolastici.</w:t>
      </w:r>
    </w:p>
    <w:p w:rsidR="002163D0" w:rsidRDefault="002163D0" w:rsidP="002163D0">
      <w:pPr>
        <w:pStyle w:val="NormaleWeb"/>
      </w:pPr>
      <w:r>
        <w:t xml:space="preserve">Le Organizzazioni sindacali FLC CGIL, Cisl Scuola, Uil Scuola, </w:t>
      </w:r>
      <w:proofErr w:type="spellStart"/>
      <w:r>
        <w:t>Snals</w:t>
      </w:r>
      <w:proofErr w:type="spellEnd"/>
      <w:r>
        <w:t xml:space="preserve"> </w:t>
      </w:r>
      <w:proofErr w:type="spellStart"/>
      <w:r>
        <w:t>Confsal</w:t>
      </w:r>
      <w:proofErr w:type="spellEnd"/>
      <w:r>
        <w:t xml:space="preserve">, in data 16 febbraio 2016, con nota </w:t>
      </w:r>
      <w:proofErr w:type="spellStart"/>
      <w:r>
        <w:t>prot</w:t>
      </w:r>
      <w:proofErr w:type="spellEnd"/>
      <w:r>
        <w:t>. n. 97, hanno provveduto ai sensi dell’articolo 2, comma 2, della Legge n. 146 del 12.6.1990, come modificata dalla Legge n. 83/2000, a comunicare la proclamazione dello stato di agitazione dei Dirigenti Scolastici con contestuale richiesta di incontro urgente al quale il MIUR non ha dato alcun seguito.</w:t>
      </w:r>
    </w:p>
    <w:p w:rsidR="002163D0" w:rsidRDefault="002163D0" w:rsidP="002163D0">
      <w:pPr>
        <w:pStyle w:val="NormaleWeb"/>
      </w:pPr>
      <w:r>
        <w:t xml:space="preserve">Lo stato di agitazione era ed è motivato dalla tuttora mancata certificazione delle risorse contrattuali relative al FUN 2015/2016, dalla mancata ripartizione regionale delle stesse, dalla conseguente mancata apertura dei tavoli di Contrattazione Integrativa Regionale sulla retribuzione di posizione e di risultato dei dirigenti scolastici per </w:t>
      </w:r>
      <w:proofErr w:type="spellStart"/>
      <w:r>
        <w:t>l’a.s.</w:t>
      </w:r>
      <w:proofErr w:type="spellEnd"/>
      <w:r>
        <w:t xml:space="preserve"> 2015/16 nonché per le decurtazioni stipendiali derivanti dall’interpretazione restrittiva del decreto-legge 78/2010,  che permangono nonostante l’incremento del FUN disposto dal comma 86 dell’art. 1 della Legge 107/2015.</w:t>
      </w:r>
    </w:p>
    <w:p w:rsidR="002163D0" w:rsidRDefault="002163D0" w:rsidP="002163D0">
      <w:pPr>
        <w:pStyle w:val="NormaleWeb"/>
      </w:pPr>
      <w:r>
        <w:t>Si richiede, pertanto, l’esperimento della procedura conciliativa prevista dalla legge sopra citata, convocando l’apposito Organismo di conciliazione costituito con D.M. n. 127 del 20.4.2000.</w:t>
      </w:r>
    </w:p>
    <w:p w:rsidR="002163D0" w:rsidRDefault="002163D0" w:rsidP="002163D0">
      <w:pPr>
        <w:pStyle w:val="NormaleWeb"/>
      </w:pPr>
      <w:r>
        <w:t>Si rimane in attesa di urgente riscontro.</w:t>
      </w:r>
    </w:p>
    <w:p w:rsidR="002163D0" w:rsidRDefault="002163D0" w:rsidP="002163D0">
      <w:pPr>
        <w:pStyle w:val="NormaleWeb"/>
        <w:jc w:val="center"/>
      </w:pPr>
      <w:r>
        <w:rPr>
          <w:rStyle w:val="Enfasigrassetto"/>
        </w:rPr>
        <w:t xml:space="preserve">FLC CGIL - CISL Scuola - UIL Scuola - SNALS </w:t>
      </w:r>
      <w:proofErr w:type="spellStart"/>
      <w:r>
        <w:rPr>
          <w:rStyle w:val="Enfasigrassetto"/>
        </w:rPr>
        <w:t>Confsal</w:t>
      </w:r>
      <w:proofErr w:type="spellEnd"/>
    </w:p>
    <w:p w:rsidR="002163D0" w:rsidRDefault="002163D0" w:rsidP="002163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</w:pPr>
    </w:p>
    <w:p w:rsidR="002163D0" w:rsidRDefault="002163D0">
      <w:pP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  <w:br w:type="page"/>
      </w:r>
    </w:p>
    <w:p w:rsidR="002163D0" w:rsidRPr="002163D0" w:rsidRDefault="002163D0" w:rsidP="002163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</w:pPr>
      <w:r w:rsidRPr="002163D0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  <w:lastRenderedPageBreak/>
        <w:t>Dirigenti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  <w:t>scolastici,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  <w:t>la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  <w:t>risposta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  <w:t>di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  <w:t>FLC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  <w:t>CGIL,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  <w:t>CISL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  <w:t>Scuola,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  <w:t>UIL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  <w:t>Scuola,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  <w:t xml:space="preserve"> </w:t>
      </w:r>
      <w:proofErr w:type="spellStart"/>
      <w:r w:rsidRPr="002163D0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  <w:t>Snals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  <w:t xml:space="preserve"> </w:t>
      </w:r>
      <w:proofErr w:type="spellStart"/>
      <w:r w:rsidRPr="002163D0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  <w:t>Confsal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  <w:t>alle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  <w:t>incredibili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  <w:t>affermazioni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  <w:t>dell’ANP</w:t>
      </w:r>
    </w:p>
    <w:p w:rsidR="002163D0" w:rsidRPr="002163D0" w:rsidRDefault="002163D0" w:rsidP="002163D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163D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sindacati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scuola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replicano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affermazioni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dell’Associazione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nazionale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dirigenti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Professionalità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successive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all’incontro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MIUR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sulla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valorizzazione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professionale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docenti.</w:t>
      </w:r>
    </w:p>
    <w:p w:rsidR="002163D0" w:rsidRPr="002163D0" w:rsidRDefault="002163D0" w:rsidP="00216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63D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26/02/2016</w:t>
      </w:r>
    </w:p>
    <w:p w:rsidR="002163D0" w:rsidRPr="002163D0" w:rsidRDefault="002163D0" w:rsidP="00216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2" w:name="fb_share"/>
    </w:p>
    <w:tbl>
      <w:tblPr>
        <w:tblW w:w="50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"/>
        <w:gridCol w:w="9567"/>
        <w:gridCol w:w="64"/>
      </w:tblGrid>
      <w:tr w:rsidR="002163D0" w:rsidRPr="002163D0" w:rsidTr="002163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63D0" w:rsidRPr="002163D0" w:rsidRDefault="002163D0" w:rsidP="0021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2163D0" w:rsidRPr="002163D0" w:rsidRDefault="002163D0" w:rsidP="0021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745FF1C" wp14:editId="23588A13">
                  <wp:extent cx="5000625" cy="523875"/>
                  <wp:effectExtent l="0" t="0" r="9525" b="9525"/>
                  <wp:docPr id="2" name="Immagine 2" descr="Loghi unit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hi unit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6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163D0" w:rsidRPr="002163D0" w:rsidRDefault="002163D0" w:rsidP="0021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163D0" w:rsidRPr="002163D0" w:rsidRDefault="002163D0" w:rsidP="00216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Sono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gravità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inaudita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affermazioni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contenute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resoconto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sul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sito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dell’ANP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viene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fatto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dopo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l’</w:t>
      </w:r>
      <w:hyperlink r:id="rId14" w:history="1">
        <w:r w:rsidRPr="002163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incontro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</w:t>
        </w:r>
        <w:r w:rsidRPr="002163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</w:t>
        </w:r>
        <w:r w:rsidRPr="002163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MIUR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</w:t>
        </w:r>
        <w:r w:rsidRPr="002163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del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</w:t>
        </w:r>
        <w:r w:rsidRPr="002163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24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</w:t>
        </w:r>
        <w:r w:rsidRPr="002163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febbraio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</w:t>
        </w:r>
        <w:r w:rsidRPr="002163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2016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sulla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valorizzazione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professionale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dei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docenti,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cosiddetto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bonus.</w:t>
      </w:r>
    </w:p>
    <w:p w:rsidR="002163D0" w:rsidRPr="002163D0" w:rsidRDefault="002163D0" w:rsidP="00216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Già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pezzo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suona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falso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offensivo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quando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descrive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posizioni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assunte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dagli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altri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sindacati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come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attacco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ai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dirigenti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delle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scuole.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Ma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è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testo,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suo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complesso,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offrire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una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lettura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totalmente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distorta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nostro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pensiero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dello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stesso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andamento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dell’incontro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MIUR.</w:t>
      </w:r>
    </w:p>
    <w:p w:rsidR="002163D0" w:rsidRPr="002163D0" w:rsidRDefault="002163D0" w:rsidP="00216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È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resto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molto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significativo,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basterebbe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solo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spiegare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ragioni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dell’astio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pervade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dalla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prima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all’ultima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riga,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modo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cui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l’ANP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mostra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intendere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contrattazione,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dalla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quale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dirigenti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finirebbero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rimanere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“imbrigliati”.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Quale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idea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dirigente,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comunità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scolastica,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relazioni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sociali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possa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celarsi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dietro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espressioni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genere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è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facile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intuirlo,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suscita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qualche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inquietudine.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quanto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riguarda,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confronto,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negoziato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contratti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non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servono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imbrigliare,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ma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segnano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percorsi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rivolti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all’assunzione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trasparente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decisioni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responsabilità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condivise,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nell’interesse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bene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comune.</w:t>
      </w:r>
    </w:p>
    <w:p w:rsidR="002163D0" w:rsidRPr="002163D0" w:rsidRDefault="002163D0" w:rsidP="00216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L’ANP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evidentemente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pensa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modo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diverso,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rivendicando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l’esercizio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un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“potere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discrezionale”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non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ammetterebbe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argini,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forzando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tal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senso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anche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stessa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legge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107/15.</w:t>
      </w:r>
    </w:p>
    <w:p w:rsidR="002163D0" w:rsidRPr="002163D0" w:rsidRDefault="002163D0" w:rsidP="00216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L’affermazione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secondo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cui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sindacati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Comparto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“non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riconoscono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ruolo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dei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dirigenti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delle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scuole”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prima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ancora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gratuita,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infondata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offensiva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suona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assolutamente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ridicola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riferita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sindacati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sempre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organizzano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rappresentano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dirigenza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scolastica,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ricorrendo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quando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necessario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iniziative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mobilitazione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come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quelle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atto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sul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FUN,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fronte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delle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quali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risalta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momento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una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certa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inerzia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dell’ANP.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Così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come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appare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lo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meno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incauta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l’enfasi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cui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l’ANP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sposa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toto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una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circolare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emessa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altrettanto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incautamente,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tanto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essere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ritirata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giro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ore.</w:t>
      </w:r>
    </w:p>
    <w:p w:rsidR="002163D0" w:rsidRPr="002163D0" w:rsidRDefault="002163D0" w:rsidP="00216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L’intelligenza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saggezza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dei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dirigenti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scolastici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sono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ben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diverse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superiori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rispetto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quelle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espresse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comunicato.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fortuna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scuola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italiana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può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far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conto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tanti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dirigenti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operano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un’autorevolezza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rafforzata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ogni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giorno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sul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campo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dalla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loro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capacità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costruire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relazioni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positive,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fattore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non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secondario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qualità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l’efficacia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formativa.</w:t>
      </w:r>
    </w:p>
    <w:p w:rsidR="002163D0" w:rsidRPr="002163D0" w:rsidRDefault="002163D0" w:rsidP="00216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Nella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convinzione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tutti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momenti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confronto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siano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quanto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mai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utili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favorire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un’applicazione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delle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norme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orientata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prevenire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divisioni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conflitti,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nostra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idea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dirigenza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è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sempre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distante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dal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principio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dell’escludere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ignorando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proofErr w:type="spellStart"/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Don’t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ask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don’t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tell</w:t>
      </w:r>
      <w:proofErr w:type="spellEnd"/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come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suggerisce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l’ANP)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perché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estraneo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ogni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modello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autenticamente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educativo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una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leadership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democratica.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2163D0" w:rsidRPr="002163D0" w:rsidRDefault="002163D0" w:rsidP="00216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rischi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possibile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contenzioso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nascono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proprio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dalla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presunzione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cui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vorrebbero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interpretare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proprio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uso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consumo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norme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legge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sulle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quali,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là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ogni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legittima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espressione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consenso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dissenso,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rivelano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viceversa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quanto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mai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utili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opportuni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tutti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momenti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confronto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possano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favorirne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un’applicazione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quanto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più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possibile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orientata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prevenire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divisioni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conflitti.</w:t>
      </w:r>
    </w:p>
    <w:p w:rsidR="002163D0" w:rsidRPr="002163D0" w:rsidRDefault="002163D0" w:rsidP="00216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Va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letta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questo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senso,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esempio,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richiesta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veder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rispettate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prerogative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norme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vigenti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(né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più,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né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meno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della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legge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107/15)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assegnano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alla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disciplina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contrattuale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ciò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riguarda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retribuzione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accessoria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personale.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tratta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peraltro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della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stessa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richiesta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coerentemente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viene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fatta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dalle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OO.SS.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anche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ciò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riguarda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retribuzione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risultato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dei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dirigenti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scolastici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che,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altrimenti,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quadro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della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prossima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valutazione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dei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dirigenti,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sarebbe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rimessa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alla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assoluta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discrezionalità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dei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direttori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degli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uffici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scolastici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regionali.</w:t>
      </w:r>
    </w:p>
    <w:p w:rsidR="002163D0" w:rsidRPr="002163D0" w:rsidRDefault="002163D0" w:rsidP="00216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Perché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sedi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confronto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producano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esiti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positivi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utili,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è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indispensabile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chi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vi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partecipa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lo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faccia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modo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costruttivo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serio;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chi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vi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coglie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solo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pretesti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alimentare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assurde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polemiche,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non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aiuta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risolvere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problemi,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alimenta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solo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divisione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finisce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indebolire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stesse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ragioni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coloro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dovrebbe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rappresentare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63D0">
        <w:rPr>
          <w:rFonts w:ascii="Times New Roman" w:eastAsia="Times New Roman" w:hAnsi="Times New Roman" w:cs="Times New Roman"/>
          <w:sz w:val="24"/>
          <w:szCs w:val="24"/>
          <w:lang w:eastAsia="it-IT"/>
        </w:rPr>
        <w:t>tutelare.</w:t>
      </w:r>
    </w:p>
    <w:tbl>
      <w:tblPr>
        <w:tblW w:w="5000" w:type="pct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94"/>
        <w:gridCol w:w="2409"/>
        <w:gridCol w:w="2046"/>
        <w:gridCol w:w="2567"/>
      </w:tblGrid>
      <w:tr w:rsidR="002163D0" w:rsidRPr="002163D0" w:rsidTr="002163D0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2163D0" w:rsidRPr="002163D0" w:rsidRDefault="002163D0" w:rsidP="0021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163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FLC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2163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CGIL</w:t>
            </w:r>
            <w:r w:rsidRPr="002163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2163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Domenico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2163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Pantaleo</w:t>
            </w:r>
          </w:p>
        </w:tc>
        <w:tc>
          <w:tcPr>
            <w:tcW w:w="0" w:type="auto"/>
            <w:vAlign w:val="center"/>
            <w:hideMark/>
          </w:tcPr>
          <w:p w:rsidR="002163D0" w:rsidRPr="002163D0" w:rsidRDefault="002163D0" w:rsidP="0021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163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CISL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2163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Scuola</w:t>
            </w:r>
            <w:r w:rsidRPr="002163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2163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Maddalena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2163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Gissi</w:t>
            </w:r>
          </w:p>
        </w:tc>
        <w:tc>
          <w:tcPr>
            <w:tcW w:w="0" w:type="auto"/>
            <w:vAlign w:val="center"/>
            <w:hideMark/>
          </w:tcPr>
          <w:p w:rsidR="002163D0" w:rsidRPr="002163D0" w:rsidRDefault="002163D0" w:rsidP="0021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163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2163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Scuola</w:t>
            </w:r>
            <w:r w:rsidRPr="002163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2163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Giuseppe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2163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Turi</w:t>
            </w:r>
          </w:p>
        </w:tc>
        <w:tc>
          <w:tcPr>
            <w:tcW w:w="0" w:type="auto"/>
            <w:vAlign w:val="center"/>
            <w:hideMark/>
          </w:tcPr>
          <w:p w:rsidR="002163D0" w:rsidRPr="002163D0" w:rsidRDefault="002163D0" w:rsidP="0021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163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SNALS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2163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Confsal</w:t>
            </w:r>
            <w:proofErr w:type="spellEnd"/>
            <w:r w:rsidRPr="002163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2163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Marco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2163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Paolo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2163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Nigi</w:t>
            </w:r>
            <w:proofErr w:type="spellEnd"/>
          </w:p>
        </w:tc>
      </w:tr>
    </w:tbl>
    <w:p w:rsidR="002163D0" w:rsidRPr="002163D0" w:rsidRDefault="002163D0" w:rsidP="002163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19"/>
        <w:gridCol w:w="2541"/>
        <w:gridCol w:w="2023"/>
        <w:gridCol w:w="2833"/>
      </w:tblGrid>
      <w:tr w:rsidR="002163D0" w:rsidRPr="002163D0" w:rsidTr="002163D0">
        <w:trPr>
          <w:tblCellSpacing w:w="22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2163D0" w:rsidRPr="002163D0" w:rsidRDefault="002163D0" w:rsidP="0021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163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2163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responsabili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2163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nazionali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2163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2163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dirigenza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2163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scolastica</w:t>
            </w:r>
          </w:p>
        </w:tc>
      </w:tr>
      <w:tr w:rsidR="002163D0" w:rsidRPr="002163D0" w:rsidTr="002163D0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2163D0" w:rsidRPr="002163D0" w:rsidRDefault="002163D0" w:rsidP="0021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163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FLC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2163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CGIL</w:t>
            </w:r>
            <w:r w:rsidRPr="002163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2163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Gianni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2163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Carlini</w:t>
            </w:r>
          </w:p>
        </w:tc>
        <w:tc>
          <w:tcPr>
            <w:tcW w:w="0" w:type="auto"/>
            <w:vAlign w:val="center"/>
            <w:hideMark/>
          </w:tcPr>
          <w:p w:rsidR="002163D0" w:rsidRPr="002163D0" w:rsidRDefault="002163D0" w:rsidP="0021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163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CISL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2163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Scuola</w:t>
            </w:r>
            <w:r w:rsidRPr="002163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2163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Mario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2163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Guglietti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163D0" w:rsidRPr="002163D0" w:rsidRDefault="002163D0" w:rsidP="0021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UIL </w:t>
            </w:r>
            <w:r w:rsidRPr="002163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Scuola</w:t>
            </w:r>
            <w:r w:rsidRPr="002163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2163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Rosa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2163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Cirillo</w:t>
            </w:r>
          </w:p>
        </w:tc>
        <w:tc>
          <w:tcPr>
            <w:tcW w:w="0" w:type="auto"/>
            <w:vAlign w:val="center"/>
            <w:hideMark/>
          </w:tcPr>
          <w:p w:rsidR="002163D0" w:rsidRPr="002163D0" w:rsidRDefault="002163D0" w:rsidP="0021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163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SNALS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2163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Confsal</w:t>
            </w:r>
            <w:proofErr w:type="spellEnd"/>
            <w:r w:rsidRPr="002163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2163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Pasquale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2163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Ragone</w:t>
            </w:r>
          </w:p>
        </w:tc>
      </w:tr>
      <w:bookmarkEnd w:id="2"/>
    </w:tbl>
    <w:p w:rsidR="003D1166" w:rsidRDefault="003D1166" w:rsidP="002163D0">
      <w:pPr>
        <w:spacing w:after="0" w:line="240" w:lineRule="auto"/>
      </w:pPr>
    </w:p>
    <w:sectPr w:rsidR="003D1166" w:rsidSect="00177746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94D6E"/>
    <w:multiLevelType w:val="multilevel"/>
    <w:tmpl w:val="803A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5442FF"/>
    <w:multiLevelType w:val="multilevel"/>
    <w:tmpl w:val="DD72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D0"/>
    <w:rsid w:val="00172A26"/>
    <w:rsid w:val="00177746"/>
    <w:rsid w:val="002163D0"/>
    <w:rsid w:val="00221C3B"/>
    <w:rsid w:val="003427C9"/>
    <w:rsid w:val="003D1166"/>
    <w:rsid w:val="00467047"/>
    <w:rsid w:val="00487EA2"/>
    <w:rsid w:val="004B3945"/>
    <w:rsid w:val="005B7989"/>
    <w:rsid w:val="00651187"/>
    <w:rsid w:val="008460F3"/>
    <w:rsid w:val="00882D91"/>
    <w:rsid w:val="009842FE"/>
    <w:rsid w:val="00A560CE"/>
    <w:rsid w:val="00A85C60"/>
    <w:rsid w:val="00B344D5"/>
    <w:rsid w:val="00DA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163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2163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3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63D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3D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artautore">
    <w:name w:val="artautore"/>
    <w:basedOn w:val="Carpredefinitoparagrafo"/>
    <w:rsid w:val="002163D0"/>
  </w:style>
  <w:style w:type="character" w:styleId="Collegamentoipertestuale">
    <w:name w:val="Hyperlink"/>
    <w:basedOn w:val="Carpredefinitoparagrafo"/>
    <w:uiPriority w:val="99"/>
    <w:semiHidden/>
    <w:unhideWhenUsed/>
    <w:rsid w:val="002163D0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21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163D0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3D0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3D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Enfasigrassetto">
    <w:name w:val="Strong"/>
    <w:basedOn w:val="Carpredefinitoparagrafo"/>
    <w:uiPriority w:val="22"/>
    <w:qFormat/>
    <w:rsid w:val="002163D0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177746"/>
    <w:pPr>
      <w:widowControl w:val="0"/>
      <w:spacing w:after="0" w:line="240" w:lineRule="auto"/>
      <w:ind w:left="276"/>
    </w:pPr>
    <w:rPr>
      <w:rFonts w:ascii="Calibri" w:eastAsia="Calibri" w:hAnsi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7746"/>
    <w:rPr>
      <w:rFonts w:ascii="Calibri" w:eastAsia="Calibri" w:hAnsi="Calibri"/>
      <w:lang w:val="en-US"/>
    </w:rPr>
  </w:style>
  <w:style w:type="table" w:styleId="Grigliatabella">
    <w:name w:val="Table Grid"/>
    <w:basedOn w:val="Tabellanormale"/>
    <w:uiPriority w:val="59"/>
    <w:rsid w:val="0017774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163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2163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3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63D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3D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artautore">
    <w:name w:val="artautore"/>
    <w:basedOn w:val="Carpredefinitoparagrafo"/>
    <w:rsid w:val="002163D0"/>
  </w:style>
  <w:style w:type="character" w:styleId="Collegamentoipertestuale">
    <w:name w:val="Hyperlink"/>
    <w:basedOn w:val="Carpredefinitoparagrafo"/>
    <w:uiPriority w:val="99"/>
    <w:semiHidden/>
    <w:unhideWhenUsed/>
    <w:rsid w:val="002163D0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21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163D0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3D0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3D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Enfasigrassetto">
    <w:name w:val="Strong"/>
    <w:basedOn w:val="Carpredefinitoparagrafo"/>
    <w:uiPriority w:val="22"/>
    <w:qFormat/>
    <w:rsid w:val="002163D0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177746"/>
    <w:pPr>
      <w:widowControl w:val="0"/>
      <w:spacing w:after="0" w:line="240" w:lineRule="auto"/>
      <w:ind w:left="276"/>
    </w:pPr>
    <w:rPr>
      <w:rFonts w:ascii="Calibri" w:eastAsia="Calibri" w:hAnsi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7746"/>
    <w:rPr>
      <w:rFonts w:ascii="Calibri" w:eastAsia="Calibri" w:hAnsi="Calibri"/>
      <w:lang w:val="en-US"/>
    </w:rPr>
  </w:style>
  <w:style w:type="table" w:styleId="Grigliatabella">
    <w:name w:val="Table Grid"/>
    <w:basedOn w:val="Tabellanormale"/>
    <w:uiPriority w:val="59"/>
    <w:rsid w:val="0017774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3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5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4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2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3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cgil.it/scuola/dirigenti/dirigenti-scolastici-proclamata-la-mobilitazione-della-categoria.flc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hyperlink" Target="http://www.flcgil.it/scuola/dirigenti/incontro-al-miur-sulla-retribuzione-dei-dirigenti-scolastici-il-mef-insiste-sui-tagli.flc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flcgil.it/scuola/dirigenti/stato-di-agitazione-dei-dirigenti-scolastici-richiesta-la-procedura-conciliativa.flc" TargetMode="External"/><Relationship Id="rId14" Type="http://schemas.openxmlformats.org/officeDocument/2006/relationships/hyperlink" Target="http://www.flcgil.it/scuola/incontro-al-miur-sul-bonus-docenti-la-flc-cgil-e-salario-accessorio-e-come-tale-va-contrattato.fl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dcterms:created xsi:type="dcterms:W3CDTF">2016-03-03T00:08:00Z</dcterms:created>
  <dcterms:modified xsi:type="dcterms:W3CDTF">2016-03-03T14:35:00Z</dcterms:modified>
</cp:coreProperties>
</file>